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CDE5" w14:textId="77777777" w:rsidR="000C26F4" w:rsidRPr="000C26F4" w:rsidRDefault="000C26F4" w:rsidP="000C26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SUPPORTING LEARNERS’ SERVICE</w:t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B2679FF" w14:textId="77777777" w:rsidR="000C26F4" w:rsidRPr="000C26F4" w:rsidRDefault="000C26F4" w:rsidP="000C26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E230121" w14:textId="77777777" w:rsidR="000C26F4" w:rsidRPr="000C26F4" w:rsidRDefault="000C26F4" w:rsidP="000C26F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WEIGHTED/ PRESSURE EQUIPMENT/ WRITING SLOPE/ CUSHION FORM</w:t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FEF327F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0670EE02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18"/>
          <w:szCs w:val="18"/>
          <w:lang w:val="en-US" w:eastAsia="en-GB"/>
        </w:rPr>
        <w:t>CHILD’S NAME:</w:t>
      </w:r>
      <w:r w:rsidRPr="000C26F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en-GB"/>
        </w:rPr>
        <w:t xml:space="preserve"> ……………………………………            </w:t>
      </w:r>
      <w:r w:rsidRPr="000C26F4">
        <w:rPr>
          <w:rFonts w:ascii="Arial" w:eastAsia="Times New Roman" w:hAnsi="Arial" w:cs="Arial"/>
          <w:b/>
          <w:bCs/>
          <w:sz w:val="18"/>
          <w:szCs w:val="18"/>
          <w:lang w:val="en-US" w:eastAsia="en-GB"/>
        </w:rPr>
        <w:t>DOB:</w:t>
      </w:r>
      <w:r w:rsidRPr="000C26F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en-GB"/>
        </w:rPr>
        <w:t xml:space="preserve"> ………..                        </w:t>
      </w:r>
      <w:r w:rsidRPr="000C26F4">
        <w:rPr>
          <w:rFonts w:ascii="Arial" w:eastAsia="Times New Roman" w:hAnsi="Arial" w:cs="Arial"/>
          <w:b/>
          <w:bCs/>
          <w:sz w:val="18"/>
          <w:szCs w:val="18"/>
          <w:lang w:val="en-US" w:eastAsia="en-GB"/>
        </w:rPr>
        <w:t>YEAR/STAGE</w:t>
      </w:r>
      <w:r w:rsidRPr="000C26F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en-GB"/>
        </w:rPr>
        <w:t>………</w:t>
      </w:r>
      <w:r w:rsidRPr="000C26F4">
        <w:rPr>
          <w:rFonts w:ascii="Times New Roman" w:eastAsia="Times New Roman" w:hAnsi="Times New Roman" w:cs="Times New Roman"/>
          <w:sz w:val="18"/>
          <w:szCs w:val="18"/>
          <w:lang w:eastAsia="en-GB"/>
        </w:rPr>
        <w:t> </w:t>
      </w:r>
    </w:p>
    <w:p w14:paraId="35677B39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18"/>
          <w:szCs w:val="18"/>
          <w:lang w:val="en-US" w:eastAsia="en-GB"/>
        </w:rPr>
        <w:t>SCHOOL ……………………………………………………………………….                  DATE:</w:t>
      </w:r>
      <w:r w:rsidRPr="000C26F4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en-GB"/>
        </w:rPr>
        <w:t>…………………</w:t>
      </w:r>
      <w:r w:rsidRPr="000C26F4">
        <w:rPr>
          <w:rFonts w:ascii="Times New Roman" w:eastAsia="Times New Roman" w:hAnsi="Times New Roman" w:cs="Times New Roman"/>
          <w:sz w:val="18"/>
          <w:szCs w:val="18"/>
          <w:lang w:eastAsia="en-GB"/>
        </w:rPr>
        <w:t> </w:t>
      </w:r>
    </w:p>
    <w:p w14:paraId="5DEF11E5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ASSESSMENT</w:t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975"/>
      </w:tblGrid>
      <w:tr w:rsidR="000C26F4" w:rsidRPr="000C26F4" w14:paraId="470E1607" w14:textId="77777777" w:rsidTr="000C26F4">
        <w:trPr>
          <w:trHeight w:val="54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E7661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To be completed in conjunction with guidance ‘Listen to Learn’ and ‘Staying Calm in Class’.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F60283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Please tick to confirm that you have checked the following: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318D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1AD4BFFE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FDD6B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Chair and table height appropriate for child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E014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589109F1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635A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Desk height at approximately elbow level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56BB0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1F5D2757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7359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Child’s feet flat on floor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F05C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77768518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B071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Bottom back in seat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C49C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4C802F74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CDFF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Chair pulled into desk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885C1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54BF949A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9562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 facing blackboard/whiteboard (no obstructions)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BB871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62A61ECC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4B1B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Desk clutter free            </w:t>
            </w:r>
            <w:r w:rsidRPr="000C26F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ab/>
            </w:r>
            <w:r w:rsidRPr="000C26F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ab/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25DD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126BE52F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86C5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Adequate lighting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07B6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3734460A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3F4B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Minimum noise and distractions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01CF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32924F16" w14:textId="77777777" w:rsidTr="000C26F4">
        <w:trPr>
          <w:trHeight w:val="300"/>
        </w:trPr>
        <w:tc>
          <w:tcPr>
            <w:tcW w:w="7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6FAF5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Regular movement breaks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6A84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31F0C7AC" w14:textId="77777777" w:rsidR="000C26F4" w:rsidRPr="000C26F4" w:rsidRDefault="000C26F4" w:rsidP="000C26F4">
      <w:pPr>
        <w:spacing w:after="0" w:line="240" w:lineRule="auto"/>
        <w:ind w:firstLine="288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D28F2AA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briefly describe child’s presenting behaviours …………………………………………………………………………………………. </w:t>
      </w:r>
    </w:p>
    <w:p w14:paraId="26F25427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…………………………………………………………………………………………. </w:t>
      </w:r>
    </w:p>
    <w:p w14:paraId="39932154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C726017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EQUIPMENT REQUESTED (please tick) Please check </w:t>
      </w:r>
      <w:hyperlink r:id="rId4" w:tgtFrame="_blank" w:history="1">
        <w:r w:rsidRPr="000C26F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GB"/>
          </w:rPr>
          <w:t>www.sensorydirect.co.uk</w:t>
        </w:r>
      </w:hyperlink>
      <w:r w:rsidRPr="000C26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 sizing and weights</w:t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795"/>
        <w:gridCol w:w="900"/>
        <w:gridCol w:w="900"/>
        <w:gridCol w:w="900"/>
        <w:gridCol w:w="705"/>
        <w:gridCol w:w="705"/>
      </w:tblGrid>
      <w:tr w:rsidR="000C26F4" w:rsidRPr="000C26F4" w14:paraId="3DF4DA55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D449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Size/ weight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E61A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XXS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6027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XS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A4AA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FC3C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7CAD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E8B5B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XL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2C771D4B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8B229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Deep pressure vest (bear hug)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C87D371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1C77C5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97A09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B64B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48CB7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CF70B3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6AAAA405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BA31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Weighted compression vest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9C387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007E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CD3E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9553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56660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953F50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60A0599B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34A5B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Weighted fleece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F28462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8D9E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C5D8B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D632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2E2B2B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DEE78E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29CB7532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A718B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299FD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800G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A7D77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1.2KG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C270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2.0KG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32259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3.0KG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9772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1KG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C6C8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2KG</w:t>
            </w: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58C8AE3B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BBAF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Weighted lap pad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32020E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29ACD9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7CD7F2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194EE70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C19A7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0E2C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4F8BB64D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0E14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Weighted shoulder wrap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F447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1B995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6C95FB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66AFB5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138904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20471B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2677FD4C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D779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Weighted blanket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442EBD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65DC80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0A92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66F3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214C12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143F0C2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298AA461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D16A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Writing slope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69A623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BB7996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D85A738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B6CC0C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62D277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F62B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03DAE9BC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0E2E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Red round cushion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69E4EB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23F0AFE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7956873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9D4C3C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26714B0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17FA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0C26F4" w:rsidRPr="000C26F4" w14:paraId="7E75099F" w14:textId="77777777" w:rsidTr="000C26F4">
        <w:trPr>
          <w:trHeight w:val="3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5906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Blue wedge cushion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7C0FD8F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1CC1764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DAA2146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62CB4FBC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CBEC49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9119A" w14:textId="77777777" w:rsidR="000C26F4" w:rsidRPr="000C26F4" w:rsidRDefault="000C26F4" w:rsidP="000C26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C26F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6AFF204E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88740CD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sz w:val="24"/>
          <w:szCs w:val="24"/>
          <w:lang w:eastAsia="en-GB"/>
        </w:rPr>
        <w:t xml:space="preserve">Name, Designation and contact details of person requesting equipment </w:t>
      </w:r>
      <w:r w:rsidRPr="000C26F4">
        <w:rPr>
          <w:rFonts w:ascii="Times New Roman" w:eastAsia="Times New Roman" w:hAnsi="Times New Roman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 </w:t>
      </w:r>
    </w:p>
    <w:p w14:paraId="57CDEB09" w14:textId="77777777" w:rsidR="000C26F4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sz w:val="24"/>
          <w:szCs w:val="24"/>
          <w:lang w:eastAsia="en-GB"/>
        </w:rPr>
        <w:t xml:space="preserve">Please return this form by email to; </w:t>
      </w:r>
      <w:hyperlink r:id="rId5" w:tgtFrame="_blank" w:history="1">
        <w:r w:rsidRPr="000C26F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supportinglearners@fife.gov.uk</w:t>
        </w:r>
      </w:hyperlink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6E2FAAD" w14:textId="5A0900BD" w:rsidR="00C15488" w:rsidRPr="000C26F4" w:rsidRDefault="000C26F4" w:rsidP="000C26F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C26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Please be advised that the person requesting the equipment is responsible for monitoring it’s use.  If the equipment is no longer required please contact Supporting Learners Business Support on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VOIP</w:t>
      </w:r>
      <w:r w:rsidRPr="000C26F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442065 or on e-mail above to arrange for it to be returned.</w:t>
      </w:r>
      <w:r w:rsidRPr="000C26F4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sectPr w:rsidR="00C15488" w:rsidRPr="000C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F4"/>
    <w:rsid w:val="000C26F4"/>
    <w:rsid w:val="00C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2D7D"/>
  <w15:chartTrackingRefBased/>
  <w15:docId w15:val="{DC9FAA2E-84A3-4033-8AFD-F348536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C26F4"/>
  </w:style>
  <w:style w:type="character" w:customStyle="1" w:styleId="eop">
    <w:name w:val="eop"/>
    <w:basedOn w:val="DefaultParagraphFont"/>
    <w:rsid w:val="000C26F4"/>
  </w:style>
  <w:style w:type="character" w:customStyle="1" w:styleId="tabchar">
    <w:name w:val="tabchar"/>
    <w:basedOn w:val="DefaultParagraphFont"/>
    <w:rsid w:val="000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0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2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5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9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0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0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0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3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inglearners@fife.gov.uk" TargetMode="External"/><Relationship Id="rId4" Type="http://schemas.openxmlformats.org/officeDocument/2006/relationships/hyperlink" Target="http://www.sensorydirect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Fife Council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Harley-Bl</dc:creator>
  <cp:keywords/>
  <dc:description/>
  <cp:lastModifiedBy>Andrew Harley-Bl</cp:lastModifiedBy>
  <cp:revision>1</cp:revision>
  <dcterms:created xsi:type="dcterms:W3CDTF">2024-09-18T09:17:00Z</dcterms:created>
  <dcterms:modified xsi:type="dcterms:W3CDTF">2024-09-18T09:18:00Z</dcterms:modified>
</cp:coreProperties>
</file>